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AUXILIAR DE FARMACIA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Encargado de almacén de farmacia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Encargado de almacén de farmacia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Prestar asistencia al (encargado de almacén de farmacia) gestor de existencias para garantizar el funcionamiento correcto de la farmacia central y el suministro a otras farmacias de campaña.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condiciones adecuadas de almacenamiento e higiene en la farmacia conforme a los protocolos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el inventario físico y la organización de las existencias conforme a las pautas de almacenamiento recomendadas por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preparación y el envío de materiales a las diferentes estructuras de salud (embalaje, transporte, etc.). Para OCA: Si se trabaja como encargado de dispensar medicamentos, consultar al emisor de la prescripción en caso de que la prescripción no sea clara o sea diferente de los protocolos estándar y comprobar que los pacientes reciban recomendaciones adecuadas con respecto a los tratamientos prescritos.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recepción de suministros.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no se retire material sin autorización y que se respeten las normas de seguridad de la farmacia.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Denunciar de inmediato cualquier robo o daños de equipos médicos o medicamentos. Tomar medidas para evitar o prevenir los robos y daños de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las fichas de existencias e informar al gestor de existencias ni bien un artículo alcance el umbral mínimo o máximo o esté a punto de vencer.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Estar alfabetizado y tener conocimientos básicos de aritmética. Tener un perfil médico no es fundamental pero se recomienda.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 experiencia en cargos similares sería una ventaja adicional.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idioma de la misión y el idioma local como requisito fundamental.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