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INTERPRETER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HRCo. Close collaboration with the person for whom translation (oral or written) is done.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oral and written translation, from the mission language to local language(s) or vice versa, in order to ensure simultaneous, accurate, friendly, respectful, objective and fluent communication between </w:t>
            </w:r>
            <w:r>
              <w:rPr>
                <w:b/>
              </w:rPr>
              <w:t xml:space="preserve">MSF</w:t>
            </w:r>
            <w:r>
              <w:t xml:space="preserve"> staff and local population.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Translate documents from / to mission language into a local one upon request.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Translate discussions / meetings as requested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Always keep respect towards patients, collaborators, authorities, military factions and </w:t>
            </w:r>
            <w:r>
              <w:rPr>
                <w:b/>
              </w:rPr>
              <w:t xml:space="preserve">MSF</w:t>
            </w:r>
            <w:r>
              <w:t xml:space="preserve"> staff participating in discussions.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confidentiality of all translation is maintained as directed by the Mission/Project coordination team.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neutrality and accuracy when translating.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Declare any “conflict of interest” when asked to translate (e.g. personal involvement) which would necessitate using other staff members for translation.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international staff about local customs, tradition, etc., that will help understand better the context and better communicate.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secondary education.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official translator degree (Mission working language)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working experience required. Desirable with MSF or other NGOs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and local languages essential.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computer literacy (word)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Service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Cultural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