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INTERSECTIONAL MEDICAL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MD21400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Country Representative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Interdesk Platform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The Intersection Medical Manager (IMM) is responsible for providing and coordinating medical support across Médecins Sans Frontières (MSF) sections in MSF Country Programme . The role focuses on medical data management and analysis, external engagement/representation with senior medical stakeholders, coordination of the medical coordinators’ platform, and providing critical support during medical evacuations. 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rPr>
                <w:b/>
              </w:rPr>
              <w:t xml:space="preserve">1. Medical Data Management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 Medical Coordinators and Humanitarian Affairs Coordinators, ensuring that the intersectional medical indicators and supporting digital platforms are fit for purpose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Maintain and oversee a robust system for medical data collection, analysis, and reporting across all MSF sections in the Country Programme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consistency, accuracy, and timeliness of meta medical data analysis that supports OCs decision-makingand contributes to and informs intersectional advocacy positioning and communication initiatives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orientation and support to medical and humanitarian affairs teams on data management tools and processes.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Facilitate the sharing of key medical data insights across sections to support alignment and coordination.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Collaborates with the Mission/Intersectional Humanitarian Affairs Coordinator, ensuring that the intersectional advocacy is rooted in medical analysis and reflects MSF’s medical priorities across all sections in the country programme </w:t>
            </w:r>
          </w:p>
          <w:p>
            <w:pPr>
              <w:pStyle w:val="Paragraph"/>
            </w:pPr>
            <w:r>
              <w:rPr>
                <w:b/>
              </w:rPr>
              <w:t xml:space="preserve">2. External Engagement with Key Stakeholders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Represent MSF in external medical forums, meetings, and partnerships with government agencies, UN, NGOs, and other relevant stakeholders.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Build and maintain strong relationships with the Ministry of Health, and other key actors to ensure alignment with local health policies and practices.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Advocate for MSF’s medical priorities and ensure the organization’s voice is heard in relevant external platforms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Facilitate and establish academic research partnerships with local organizations, support with research ERBs submission </w:t>
            </w:r>
          </w:p>
          <w:p>
            <w:pPr>
              <w:pStyle w:val="Paragraph"/>
            </w:pPr>
            <w:r>
              <w:rPr>
                <w:b/>
              </w:rPr>
              <w:t xml:space="preserve">3. Coordination of the Medical Coordinators’ Platform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Facilitate agenda setting and follow-up of action points of regular meetings of the medical coordinators’ platform to ensure cross-sectional collaboration and alignment.,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Act as the focal point for sharing updates, challenges, and best practices across MSF sections.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Support the development of a unified medical strategy and priorities for MSF country program.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Attends inter-desk meetings and provide sitreps/reports etc. periodically </w:t>
            </w:r>
          </w:p>
          <w:p>
            <w:pPr>
              <w:pStyle w:val="Paragraph"/>
            </w:pPr>
            <w:r>
              <w:rPr>
                <w:b/>
              </w:rPr>
              <w:t xml:space="preserve">4. Support for Medical Evacuations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Provide technical and logistical support for medical evacuations, ensuring the safety and well-being of staff and patients.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Collaborate with relevant teams to develop contingency plans and protocols for emergency situations. </w:t>
            </w:r>
          </w:p>
          <w:p>
            <w:pPr>
              <w:pStyle w:val="Paragraph"/>
            </w:pPr>
            <w:r>
              <w:rPr>
                <w:b/>
              </w:rPr>
              <w:t xml:space="preserve">5. Capacity Building and Technical Support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Provide guidance and mentorship to medical teams across sections to strengthen their capacity.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Identify training needs and support the design and implementation of training programs for medical staff. 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Ensure adherence to MSF medical protocols and international standards of care.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Advanced degree in Medicine (MD), Para Medical Degree.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Minimum 3-5 years of experience in medical program management, preferably in humanitarian settings.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working with MSF or similar organizations is highly desirable.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Demonstrated experience in external engagement and advocacy with health stakeholders 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Experience of data management, with significant demonstratable competencies in data analysis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Specialized training in medical data management, health systems strengthening is an advantage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Essential: English language, advanced written and spoken </w:t>
            </w:r>
          </w:p>
          <w:p>
            <w:pPr>
              <w:pStyle w:val="ListBullet"/>
              <w:numPr>
                <w:ilvl w:val="0"/>
                <w:numId w:val="23"/>
              </w:numPr>
            </w:pPr>
            <w:r>
              <w:t xml:space="preserve">Desirable : Mission language(s)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Essential: computer literacy (word, excel, Power point, outlook, and statistical software) 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Continuous Learning:  Stay informed on DEI best practices, participate in training, and apply new insights to daily work.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People Management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Commitment to MSF principles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Results and Quality Orientation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Teamwork and Cooperation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Leadership: Ability to lead and inspire cross-functional teams in a multicultural environment.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Communication: Strong interpersonal and communication skills, with the ability to engage effectively with diverse stakeholders.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Problem-Solving: Proactive and solution-oriented approach to challenges.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Collaboration: Strong team player with the ability to work across sections and disciplines. </w:t>
            </w:r>
          </w:p>
          <w:p>
            <w:pPr>
              <w:pStyle w:val="ListBullet"/>
              <w:numPr>
                <w:ilvl w:val="0"/>
                <w:numId w:val="24"/>
              </w:numPr>
            </w:pPr>
            <w:r>
              <w:t xml:space="preserve">Adaptability: Flexibility to adapt to changing priorities and emergency situations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2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3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