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LOGISTIQUE DE LA MISSION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la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Conseiller de cellule logistique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Le Responsable logistique de la mission offrira sa participation et sa collaboration au Chef de mission et au Conseiller de cellule logistique (au siège) dans la définition et la mise en œuvre de toutes les techniques et stratégies de soutien logistique et soutien sur le terrain. Cela implique d'assurer la pertinence et la cohérence des programmes de logistique, l'adéquation des moyens fournis et le respect des normes et protocoles de MSF afin de permettre le développement de la mission dans des conditions de travail parfaites, et d'optimiser l'impact des projets médicaux.</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Avec le soutien du Conseiller de cellule logistique (TeLoCo), participer à la définition et à la mise à jour annuelle de la planification de projet, des budgets et du Plan de préparation d'urgence, conseiller MSF dans la traduction des besoins logistiques/techniques identifiés en objectifs, priorités et ressources nécessaires pour l'intervention.</w:t>
            </w:r>
          </w:p>
          <w:p>
            <w:pPr>
              <w:pStyle w:val="ListBullet"/>
              <w:numPr>
                <w:ilvl w:val="0"/>
                <w:numId w:val="17"/>
              </w:numPr>
            </w:pPr>
            <w:r>
              <w:t xml:space="preserve">Surveiller la mise en œuvre des activités logistiques/techniques/d'approvisionnement de la mission en assurant le respect de normes de MSF, des protocoles et des procédures, se rapporter à MSF en ce qui concerne le développement des programmes en cours et proposer une réorientation des stratégies lorsque nécessaire.</w:t>
            </w:r>
          </w:p>
          <w:p>
            <w:pPr>
              <w:pStyle w:val="ListBullet"/>
              <w:numPr>
                <w:ilvl w:val="0"/>
                <w:numId w:val="17"/>
              </w:numPr>
            </w:pPr>
            <w:r>
              <w:t xml:space="preserve">En étroite collaboration avec le département des ressources humaines, participer au recrutement, à la formation, au briefing/débriefing, à l'évaluation de la performance du personnel d'appui logistique de la mission afin d'assurer à la fois la taille et la quantité de connaissances requises. Mettre en œuvre toutes ces activités liées à la logistique du personnel sous sa responsabilité directe.</w:t>
            </w:r>
          </w:p>
          <w:p>
            <w:pPr>
              <w:pStyle w:val="ListBullet"/>
              <w:numPr>
                <w:ilvl w:val="0"/>
                <w:numId w:val="17"/>
              </w:numPr>
            </w:pPr>
            <w:r>
              <w:t xml:space="preserve">Assurer une référence technique pour toutes les questions de logistique/questions techniques de la mission et fournir un encadrement du personnel logistique.</w:t>
            </w:r>
          </w:p>
          <w:p>
            <w:pPr>
              <w:pStyle w:val="ListBullet"/>
              <w:numPr>
                <w:ilvl w:val="0"/>
                <w:numId w:val="17"/>
              </w:numPr>
            </w:pPr>
            <w:r>
              <w:t xml:space="preserve">Assurer l'installation et l'entretien des espaces de bureau fonctionnels et des installations d'hébergement dans des conditions de vie convenables ainsi que tout l'équipement requis.</w:t>
            </w:r>
          </w:p>
          <w:p>
            <w:pPr>
              <w:pStyle w:val="ListBullet"/>
              <w:numPr>
                <w:ilvl w:val="0"/>
                <w:numId w:val="17"/>
              </w:numPr>
            </w:pPr>
            <w:r>
              <w:t xml:space="preserve">Surveiller et mettre en œuvre les aspects techniques de la règle de réduction des risques : le transport, la communication, la protection, l'identification et la préparation des aspects techniques du plan de sécurité de la mission, du plan d'évacuation et d'autres plans d'urgence.</w:t>
            </w:r>
          </w:p>
          <w:p>
            <w:pPr>
              <w:pStyle w:val="ListBullet"/>
              <w:numPr>
                <w:ilvl w:val="0"/>
                <w:numId w:val="17"/>
              </w:numPr>
            </w:pPr>
            <w:r>
              <w:t xml:space="preserve">Est responsable d'assurer les moyens de communication de la Mission (y compris les nombres et fréquences), permettant la communication permanente entre la capitale, les projets, les bases et le quartier général. S'assurer que tout le personnel de la Mission bénéficie d'une formation appropriée sur la façon d'utiliser le matériel de communication matériel disponible à la Mission (p. ex. téléphones satellites, HF/VHF, ordinateurs, etc.)
</w:t>
            </w:r>
          </w:p>
          <w:p>
            <w:pPr>
              <w:pStyle w:val="ListBullet"/>
              <w:numPr>
                <w:ilvl w:val="1"/>
                <w:numId w:val="17"/>
              </w:numPr>
            </w:pPr>
            <w:r>
              <w:t xml:space="preserve">Fournir les rapports d'évolution des projets/mission sous une perspective technique/logistique et de proposer des corrections si nécessaire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technique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travail d'au moins deux ans dans des emplois reliés, expérience avec MSF ou autres ONG dans les pays en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8"/>
              </w:numPr>
            </w:pPr>
            <w:r>
              <w:t xml:space="preserve">Langage de mission essentiel</w:t>
            </w:r>
          </w:p>
          <w:p>
            <w:pPr>
              <w:pStyle w:val="ListBullet"/>
              <w:numPr>
                <w:ilvl w:val="0"/>
                <w:numId w:val="18"/>
              </w:numPr>
            </w:pPr>
            <w:r>
              <w:t xml:space="preserve">Anglais ou français obligatoire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essentielles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Results and Quality Orientation </w:t>
            </w:r>
            <w:r>
              <w:rPr>
                <w:b/>
              </w:rPr>
              <w:t xml:space="preserve">L3</w:t>
            </w:r>
          </w:p>
          <w:p>
            <w:pPr>
              <w:pStyle w:val="ListBullet"/>
              <w:numPr>
                <w:ilvl w:val="0"/>
                <w:numId w:val="19"/>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