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HR COORDINATOR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FINANCE AND HR COORDINATOR ASSISTANT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AS01002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Human Resources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Human Resources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 general administrative procedures in order to ensure documentary traceability as well as compliance with local labour and fiscal regulations, under the HR Coordinator’s supervision.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Following the HR Co’s instructions, supervise that the internal regulations are followed in the mission in order to ensure both tax and labour regulation compliance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Execute recruitment activities ensuring transparency and equity and issuing job offers conveniently in order to meet HR needs.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all the new staff on Staff Regulations, HR policies and regulations and/or living conditions in order to facilitate staff integration and their security.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Execute, under the HR Coordinator supervision, employee contract related activities (file opening and formal documentation archiving, personal data updating, amendments, termination dates supervision, etc.) in order to ensure legal compliance.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Present and explain contract terms and the content of Internal regulation (rights and obligations) to newly recruited personnel in order to ensure legal compliance and local integration.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Collect the variable pay slip elements on Homere (paid holidays, sick leave, unpaid leave, etc.) in order to ensure accurate and on time payroll payment.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Supervise the payroll process, checking the list of employees and amounts payable (variable pay, taxes, social securities contributions, etc.) in order to ensure accuracy and on time payroll payment.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Follow-up cost of living on a regular basis.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Register applicants to training activities and help the HR Coordinator to evaluate the results in order to improve return on training expenditures.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the HR Coordinator to draw up annual holiday planning in order to schedule staff shifts and cover operational needs.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Supervise project budget execution in order to detect deviations and recommend corrections.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Organizes travel and files of all Staff arriving/departing the Mission, including International Staff documentation (visas, MSF card, Mission Orders, etc.), booking and purchasing plane tickets, keeping / renewing passports and organizing briefings / induction.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that all staff have valid work, stay, travel permits.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Ensures staff travelling through the capital is picked up, has appropriate papers and a place to stay.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Desirable, degree in finance, business or administration related studies.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Essential, working experience of at least two years in relevant jobs.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experience with MSF or other NGOs in developing countries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