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SPÉCIALISTE LOGISTIQUE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Responsable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Réfèrent HQ/  Réfèrent Technique National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Effectuer les évaluations et assurer la mise en place, la gestion courante et le contrôle de la partie technique des projets dans certains domaines de spécialisation définis (génie électrique, SIG, TIC, biomédical, ingénierie mécanique, architecture, ingénierie construction), conformément aux protocoles, normes et procédures </w:t>
            </w:r>
            <w:r>
              <w:rPr>
                <w:b/>
              </w:rPr>
              <w:t xml:space="preserve">MSF</w:t>
            </w:r>
            <w:r>
              <w:t xml:space="preserve"> afin d’assurer le fonctionnement optimal du projet et des infrastructures ainsi qu’une utilisation efficace des systèmes et des équipements.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Définir la procédure et assurer la mise en place, le contrôle, l’entretien et le fonctionnement correct du travail technique dans son domaine de spécialisation</w:t>
            </w:r>
          </w:p>
          <w:p>
            <w:pPr>
              <w:pStyle w:val="ListBullet"/>
              <w:numPr>
                <w:ilvl w:val="0"/>
                <w:numId w:val="17"/>
              </w:numPr>
            </w:pPr>
            <w:r>
              <w:t xml:space="preserve">Gérer les activités techniques de soutien en étroite collaboration avec le responsable de terrain du domaine d’activité dont il (elle) est principalement responsable</w:t>
            </w:r>
          </w:p>
          <w:p>
            <w:pPr>
              <w:pStyle w:val="ListBullet"/>
              <w:numPr>
                <w:ilvl w:val="0"/>
                <w:numId w:val="17"/>
              </w:numPr>
            </w:pPr>
            <w:r>
              <w:t xml:space="preserve">Effectuer les évaluations et les études de faisabilité du projet pour offrir aux supérieurs hiérarchiques des possibilités alternatives aux difficultés rencontrées dans son domaine de spécialisation, à savoir l’installation, la construction et la mise en service. En liaison directe avec le personnel, identifier les besoins du projet et gérer les réponses aux demandes en établissant des priorités.</w:t>
            </w:r>
          </w:p>
          <w:p>
            <w:pPr>
              <w:pStyle w:val="ListBullet"/>
              <w:numPr>
                <w:ilvl w:val="0"/>
                <w:numId w:val="17"/>
              </w:numPr>
            </w:pPr>
            <w:r>
              <w:t xml:space="preserve">Si les protocoles standard ne sont ni disponibles ni adaptés, établir un protocole favorisant largement les retours d’expérience et les tests pilotes de manière à en assurer la bonne marche ainsi que la définition des normes de fonctionnement et des systèmes de contrôle </w:t>
            </w:r>
          </w:p>
          <w:p>
            <w:pPr>
              <w:pStyle w:val="ListBullet"/>
              <w:numPr>
                <w:ilvl w:val="0"/>
                <w:numId w:val="17"/>
              </w:numPr>
            </w:pPr>
            <w:r>
              <w:t xml:space="preserve">Prendre en charge les formalités administratives, le classement et l’enregistrement des installations et des réparations effectuées ou demandées.</w:t>
            </w:r>
          </w:p>
          <w:p>
            <w:pPr>
              <w:pStyle w:val="ListBullet"/>
              <w:numPr>
                <w:ilvl w:val="0"/>
                <w:numId w:val="17"/>
              </w:numPr>
            </w:pPr>
            <w:r>
              <w:t xml:space="preserve">En tant que référent technique, donner un avis spécialisé, assurer le contrôle qualité et renforcer les connaissances de l’équipe. Assurer des formations pour les techniciens, les gestionnaires et les contrôleurs pour la mise en place générale, l’utilisation et l’entretien des nouvelles installations.</w:t>
            </w:r>
          </w:p>
          <w:p>
            <w:pPr>
              <w:pStyle w:val="ListBullet"/>
              <w:numPr>
                <w:ilvl w:val="0"/>
                <w:numId w:val="17"/>
              </w:numPr>
            </w:pPr>
            <w:r>
              <w:t xml:space="preserve">En cas de besoin, agir en tant qu’Expert itinérant de la mission et apporter aux gestionnaires des conseils techniques dûment documentés.</w:t>
            </w:r>
          </w:p>
          <w:p>
            <w:pPr>
              <w:pStyle w:val="ListBullet"/>
              <w:numPr>
                <w:ilvl w:val="0"/>
                <w:numId w:val="17"/>
              </w:numPr>
            </w:pPr>
            <w:r>
              <w:t xml:space="preserve">Effectuer des tâches déléguées dans son domaine de spécialisation, tel que décrit dans le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diplôme technique ou diplôme d’une université technique dans la spécialisation concernée.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Indispensable : au moins deux ans d’expérience professionnelle logistique dans la spécialisation concernée.</w:t>
            </w:r>
          </w:p>
          <w:p>
            <w:pPr>
              <w:pStyle w:val="ListBullet"/>
              <w:numPr>
                <w:ilvl w:val="0"/>
                <w:numId w:val="18"/>
              </w:numPr>
            </w:pPr>
            <w:r>
              <w:t xml:space="preserve">Souhaité : expérience préalable avec </w:t>
            </w:r>
            <w:r>
              <w:rPr>
                <w:b/>
              </w:rPr>
              <w:t xml:space="preserve">MSF</w:t>
            </w:r>
            <w:r>
              <w:t xml:space="preserve"> ou une autre ONG et expérience professionnelle des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