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CONSULTANT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 Responsable d’activité (le cas échéant)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 Responsable d’activité (le cas échéant)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Organiser et assurer les consultations médicales aux patients et/ou à la population ciblée en fournissant un traitement aux patients dans le cadre de ses compétences médicales et référer les patients souffrant de conditions au-delà de ses compétences, afin de garantir la qualité et l’efficacité du service fourni. Cela sera fait en fonction du contexte, des protocoles MSF, des procédures et des normes d’hygiène universelle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la mise en œuvre et la normalisation des politiques cliniques, des outils et des protocoles d’hygiène des MSF afin de minimiser les risques cliniques et octroyer la qualité de la prise en charge des patients.</w:t>
            </w:r>
          </w:p>
          <w:p>
            <w:pPr>
              <w:pStyle w:val="ListBullet"/>
              <w:numPr>
                <w:ilvl w:val="0"/>
                <w:numId w:val="17"/>
              </w:numPr>
            </w:pPr>
            <w:r>
              <w:t xml:space="preserve">Promouvoir et maintenir la confidentialité concernant tous les cas et les dossiers des patients</w:t>
            </w:r>
          </w:p>
          <w:p>
            <w:pPr>
              <w:pStyle w:val="ListBullet"/>
              <w:numPr>
                <w:ilvl w:val="0"/>
                <w:numId w:val="17"/>
              </w:numPr>
            </w:pPr>
            <w:r>
              <w:t xml:space="preserve">Réalisation de diagnostic, prescription et des procédures de prévention qui relevant de ses compétences utilisant ses connaissances médicales, posant les questions appropriées aux patients et suivre les protocoles en vigueur ainsi qu’utiliser les services de laboratoire le cas échéant, dans le but d’assurer l’exécution correcte des traitements médicaux et de référer les patients lorsque approprié.</w:t>
            </w:r>
          </w:p>
          <w:p>
            <w:pPr>
              <w:pStyle w:val="ListBullet"/>
              <w:numPr>
                <w:ilvl w:val="0"/>
                <w:numId w:val="17"/>
              </w:numPr>
            </w:pPr>
            <w:r>
              <w:t xml:space="preserve">Participer à la planification et à la supervision, en étroite collaboration avec les autres superviseurs, les processus des RH (dimension, équipes de personnel,recrutement, formation, évaluation, développement et communication) de l’équipe afin d’assurer à la fois le dimensionnement et le montant des connaissances requises, améliorer la capacités de triages des personnes, leurs motivation et leur engagement et leur participation active dans l’enseignement de la population ciblée sur les protocoles thérapeutiques et préventifs.</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projet.List item</w:t>
            </w:r>
          </w:p>
          <w:p>
            <w:pPr>
              <w:pStyle w:val="ListBullet"/>
              <w:numPr>
                <w:ilvl w:val="0"/>
                <w:numId w:val="17"/>
              </w:numPr>
            </w:pPr>
            <w:r>
              <w:t xml:space="preserve">Effectuer les soins de premiers secours et le traitement conformément aux protocoles en cas d’une urgence afin de réduire les taux de mortalité</w:t>
            </w:r>
          </w:p>
          <w:p>
            <w:pPr>
              <w:pStyle w:val="ListBullet"/>
              <w:numPr>
                <w:ilvl w:val="0"/>
                <w:numId w:val="17"/>
              </w:numPr>
            </w:pPr>
            <w:r>
              <w:t xml:space="preserve">Enregistrer les cartes individuelles du patient et les dossiers d’enregistrement de toutes les activités médicales (médicaments prescrits, résultats de laboratoire, vaccin à jour, activité épidémiologique, doses, etc.) réalisées en gardant la traçabilité des données afin d’assurer la continuité du traitement des patients.</w:t>
            </w:r>
          </w:p>
          <w:p>
            <w:pPr>
              <w:pStyle w:val="ListBullet"/>
              <w:numPr>
                <w:ilvl w:val="0"/>
                <w:numId w:val="17"/>
              </w:numPr>
            </w:pPr>
            <w:r>
              <w:t xml:space="preserve">Participer à la collecte des données et au rapport en cas de besoin</w:t>
            </w:r>
          </w:p>
          <w:p>
            <w:pPr>
              <w:pStyle w:val="ListBullet"/>
              <w:numPr>
                <w:ilvl w:val="0"/>
                <w:numId w:val="17"/>
              </w:numPr>
            </w:pPr>
            <w:r>
              <w:t xml:space="preserve">Connaître et exécuter l’Education thérapeutique du patient (ETP), à savoir maintenir contact avec tous les patients, leur fournir des informations concernant leur état de santé et répondre à leurs questions.</w:t>
            </w:r>
          </w:p>
          <w:p>
            <w:pPr>
              <w:pStyle w:val="ListBullet"/>
              <w:numPr>
                <w:ilvl w:val="0"/>
                <w:numId w:val="17"/>
              </w:numPr>
            </w:pPr>
            <w:r>
              <w:t xml:space="preserve">Connaître et promouvoir la bonne application du kit de la prophylaxie post-exposition (PPE) et du protocole de la Violence sexuelle (VS).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responsable clinique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souhaitable en tant que supervision Clinique d’au moins un an, Pour OCA: Indispensable, 2 ans d’expérience professionnelle dans le domaine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