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FARMACÉUTICO/A INTERSECCIONAL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farmacéutico internacional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Los coordinadores médicos de las secciones presentes en el país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 y paramédica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Persona de referencia y de apoyo para la importación de artículos farmacéuticos de los Centros Europeos de Suministros (ESC)o encontrar tratamientos adecuados para las diversas secciones presentes en el país de acuerdo con los protocolos, los estándares, la política de abastecimiento y el Plan de Cualificación Internacional de </w:t>
            </w:r>
            <w:r>
              <w:rPr>
                <w:b/>
              </w:rPr>
              <w:t xml:space="preserve">MSF</w:t>
            </w:r>
            <w:r>
              <w:t xml:space="preserve">, destinados a facilitar la provisión de artículos farmacéuticos de calidad para las misiones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Ser la persona de referencia para los contactos con las autoridades locales y con los Centros Europeos de Suministros (ESC) de </w:t>
            </w:r>
            <w:r>
              <w:rPr>
                <w:b/>
              </w:rPr>
              <w:t xml:space="preserve">MSF</w:t>
            </w:r>
            <w:r>
              <w:t xml:space="preserve"> en asuntos farmacéuticos, con el fin de asegurar un sistema de comunicación coherente y sistemático con las autoridades, y de coherencia y cooperación interseccional. Participar en las auditorías de las buenas prácticas de fabricación a petición de prevención y control de infecciones.</w:t>
            </w:r>
          </w:p>
          <w:p>
            <w:pPr>
              <w:pStyle w:val="ListBullet"/>
              <w:numPr>
                <w:ilvl w:val="0"/>
                <w:numId w:val="17"/>
              </w:numPr>
            </w:pPr>
            <w:r>
              <w:t xml:space="preserve">Participar en la definición y en la actualización del plan y de los presupuestos anuales. Asegurar la actualización permanente y, de ser necesario, establecer y proponer un nuevo conjunto de directrices y procedimientos que adapten la práctica de MSF a la normativa nacional.</w:t>
            </w:r>
          </w:p>
          <w:p>
            <w:pPr>
              <w:pStyle w:val="ListBullet"/>
              <w:numPr>
                <w:ilvl w:val="0"/>
                <w:numId w:val="17"/>
              </w:numPr>
            </w:pPr>
            <w:r>
              <w:t xml:space="preserve">Asegurarse de que todos los coordinadores médicos, los farmacéuticos de la sección y los Centros Europeos de Suministros conozcan las reglas, directrices y leyes nacionales sobre medicamentos, así como de los procedimientos de importación, y estén al tanto de sus actualizaciones.</w:t>
            </w:r>
          </w:p>
          <w:p>
            <w:pPr>
              <w:pStyle w:val="ListBullet"/>
              <w:numPr>
                <w:ilvl w:val="0"/>
                <w:numId w:val="17"/>
              </w:numPr>
            </w:pPr>
            <w:r>
              <w:t xml:space="preserve">Apoyar las misiones en colaboración con la Campaña de Acceso y los Farmacéuticos de enfermedades infecciosas para el acceso a tratamientos nuevos o no registrados para los proyectos de </w:t>
            </w:r>
            <w:r>
              <w:rPr>
                <w:b/>
              </w:rPr>
              <w:t xml:space="preserve">MSF</w:t>
            </w:r>
            <w:r>
              <w:t xml:space="preserve">. Apoyar las misiones del país mediante el trabajo en equipo con todos los departamentos interesados (médico, logístico, administrativo) para resolver cuestiones específicas de suministro relacionadas con las limitaciones de importación a las que se enfrenta el país.</w:t>
            </w:r>
          </w:p>
          <w:p>
            <w:pPr>
              <w:pStyle w:val="ListBullet"/>
              <w:numPr>
                <w:ilvl w:val="0"/>
                <w:numId w:val="17"/>
              </w:numPr>
            </w:pPr>
            <w:r>
              <w:t xml:space="preserve">Asegurarse de que todas las secciones apliquen las mismas reglas de importación y suministro de acuerdo con el Plan de Cualificación Internacional de </w:t>
            </w:r>
            <w:r>
              <w:rPr>
                <w:b/>
              </w:rPr>
              <w:t xml:space="preserve">MSF</w:t>
            </w:r>
            <w:r>
              <w:t xml:space="preserve">. Coordinar reuniones con los farmacéuticos/MedCos/supervisores de suministros/gerentes de la misión, donde se intercambia información sobre los productos farmacéuticos y se comparten problemas para encontrar soluciones comunes.</w:t>
            </w:r>
          </w:p>
          <w:p>
            <w:pPr>
              <w:pStyle w:val="ListBullet"/>
              <w:numPr>
                <w:ilvl w:val="0"/>
                <w:numId w:val="17"/>
              </w:numPr>
            </w:pPr>
            <w:r>
              <w:t xml:space="preserve">Recopilar datos para elaborar una base de datos de compras locales y fuentes autorizadas para la compra local por parte de los farmacéuticos de la sección. Visitar a los distribuidores e informar sobre el cumplimiento del PIB (Good Documentation Practice) a petición y en nombre del farmacéutico de la sección.</w:t>
            </w:r>
          </w:p>
          <w:p>
            <w:pPr>
              <w:pStyle w:val="ListBullet"/>
              <w:numPr>
                <w:ilvl w:val="0"/>
                <w:numId w:val="17"/>
              </w:numPr>
            </w:pPr>
            <w:r>
              <w:t xml:space="preserve">Desarrollar contratos y  cooperar con otras ONG (por ejemplo el CICR), organismos de las Naciones Unidas (por ejemplo UNICEF, ACNUR, etc.) y organizaciones locales que se ocupan de la calidad/disponibilidad de los medicamentos esenciales (incluida la oficina de la OMS del país), para volver a abordar las cuestiones farmacéuticas de manera proactiva.</w:t>
            </w:r>
          </w:p>
          <w:p>
            <w:pPr>
              <w:pStyle w:val="ListBullet"/>
              <w:numPr>
                <w:ilvl w:val="0"/>
                <w:numId w:val="17"/>
              </w:numPr>
            </w:pPr>
            <w:r>
              <w:t xml:space="preserve">Participar y ayudar a preparar las visitas de los farmacéuticos de la sección y presentar informes mensuales de actividad (informe de situación) para compartirlos con todas las secciones.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poseer titulación en Farmacia (o equivalente según el país de origen del farmacéutico)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Imprescindible: demostrar un mínimo de 3 años de experiencia profesional, incluyendo alguna experiencia en países en desarrollo dentro de MSF u otra organización internacional.</w:t>
            </w:r>
          </w:p>
          <w:p>
            <w:pPr>
              <w:pStyle w:val="ListBullet"/>
              <w:numPr>
                <w:ilvl w:val="0"/>
                <w:numId w:val="18"/>
              </w:numPr>
            </w:pPr>
            <w:r>
              <w:t xml:space="preserve">Es conveniente tener experiencia en aseguramiento de calidad y en los aspectos de fabricación de productos farmacéuticos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19"/>
              </w:numPr>
            </w:pPr>
            <w:r>
              <w:t xml:space="preserve">Es esencial dominar el inglés.</w:t>
            </w:r>
          </w:p>
          <w:p>
            <w:pPr>
              <w:pStyle w:val="ListBullet"/>
              <w:numPr>
                <w:ilvl w:val="0"/>
                <w:numId w:val="19"/>
              </w:numPr>
            </w:pPr>
            <w:r>
              <w:t xml:space="preserve">Es conveniente conocer los idiomas locales.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20"/>
              </w:numPr>
            </w:pPr>
            <w:r>
              <w:t xml:space="preserve">Demostrar capacidad para coordinar varias partes interesadas internas </w:t>
            </w:r>
          </w:p>
          <w:p>
            <w:pPr>
              <w:pStyle w:val="ListBullet"/>
              <w:numPr>
                <w:ilvl w:val="0"/>
                <w:numId w:val="20"/>
              </w:numPr>
            </w:pPr>
            <w:r>
              <w:t xml:space="preserve">Demostrar capacidad para colaborar con interesados externos (por ejemplo, el Ministerio de Salud, la dirección Nacional de Recursos Naturales, empresas contratistas, etc.)</w:t>
            </w:r>
          </w:p>
          <w:p>
            <w:pPr>
              <w:pStyle w:val="ListBullet"/>
              <w:numPr>
                <w:ilvl w:val="0"/>
                <w:numId w:val="20"/>
              </w:numPr>
            </w:pPr>
            <w:r>
              <w:t xml:space="preserve">Excelentes habilidades de escritura y comunicación a nivel de influencia.</w:t>
            </w:r>
          </w:p>
          <w:p>
            <w:pPr>
              <w:pStyle w:val="ListBullet"/>
              <w:numPr>
                <w:ilvl w:val="0"/>
                <w:numId w:val="20"/>
              </w:numPr>
            </w:pPr>
            <w:r>
              <w:t xml:space="preserve">Buenas habilidades analíticas y de resolución de problemas con atención a los detalles.</w:t>
            </w:r>
          </w:p>
          <w:p>
            <w:pPr>
              <w:pStyle w:val="ListBullet"/>
              <w:numPr>
                <w:ilvl w:val="0"/>
                <w:numId w:val="20"/>
              </w:numPr>
            </w:pPr>
            <w:r>
              <w:t xml:space="preserve">Habilitado para formar, capacitar y apoyar a los farmacéuticos y al personal de suministros médicos.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1"/>
              </w:numPr>
            </w:pPr>
            <w:r>
              <w:t xml:space="preserve">Visión estratégica L2</w:t>
            </w:r>
          </w:p>
          <w:p>
            <w:pPr>
              <w:pStyle w:val="ListBullet"/>
              <w:numPr>
                <w:ilvl w:val="0"/>
                <w:numId w:val="21"/>
              </w:numPr>
            </w:pPr>
            <w:r>
              <w:t xml:space="preserve">Liderazgo L2</w:t>
            </w:r>
          </w:p>
          <w:p>
            <w:pPr>
              <w:pStyle w:val="ListBullet"/>
              <w:numPr>
                <w:ilvl w:val="0"/>
                <w:numId w:val="21"/>
              </w:numPr>
            </w:pPr>
            <w:r>
              <w:t xml:space="preserve">Gestión y desarrollo de personal L3</w:t>
            </w:r>
          </w:p>
          <w:p>
            <w:pPr>
              <w:pStyle w:val="ListBullet"/>
              <w:numPr>
                <w:ilvl w:val="0"/>
                <w:numId w:val="21"/>
              </w:numPr>
            </w:pPr>
            <w:r>
              <w:t xml:space="preserve">Planificación L3</w:t>
            </w:r>
          </w:p>
          <w:p>
            <w:pPr>
              <w:pStyle w:val="ListBullet"/>
              <w:numPr>
                <w:ilvl w:val="0"/>
                <w:numId w:val="21"/>
              </w:numPr>
            </w:pPr>
            <w:r>
              <w:t xml:space="preserve">Trabajo en equipo y cooperación 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