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DEPUTY PROJECT MEDICAL REFERENT / DEPUTY PROJECT MEDICAL COORDINATOR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MM11400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11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Medical Referent / Project Medical Coordinator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Medical Referent / Project Medical Coordinator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and 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Supporting the Project Medical Referent through delegated tasks and responsibilities including defining, planning, and monitoring of medical activities and in the coordination of resources required to en-sure quality of care provided by MSF.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Support the PMR in the overall functioning of the medical programs in the project through delegated tasks and fully assuming the PMR
responsibilities and accountabilities in case of absence.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Monitor and evaluate medical programs and regularly suggest improvements if needed.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Visit the project sites regularly in consultation with PMR to support health teams and to ensure compliance with MSF protocols and guidelines.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Participate in exploratory missions and situation assessments to identify healthcare needs when required.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the PMR in the annual planning process, budget review, project proposal and reports to donors.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Responsible for ensuring that the HR requirements (recruitment, training, evaluation, leave management, etc.) are met for the medical team in the project.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Representation of MSF with MoH and other health partners as delegated by the PMR/MTL.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in the collection, analysis and reporting of health data in the projects.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PMR in pharmacy management and in the international medical order management.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Substitute doctors, nurses and paramedical staff if necessary.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the PMR in the correct implementation of staff health policies at project level.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Perform any other relevant tasks assigned by his/her supervisors as necessary.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Éducation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Medical doctor or nursing or paramedical degree. Desirable specialization or training in Tropical Medicine or related studies.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Expérience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Minimum 2 years of work experience related to the degree/diploma.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Diverse and strong health knowledge including at least 1 year working in humanitarian settings with MSF (or another humanitarian organization) in the field.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Langues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Essential mission language, an additional language or local language desirable. 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Connaissance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Essential computer literacy (word, excel and internet)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Compétences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People Management and Development L2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Commitment to MSF Principles L2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Behavioural Flexibility L3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Results and Quality Orientation L3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Teamwork and Cooperation L3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0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1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