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RÉCEPTIONNISTE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AB01900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  ou coordinateur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  ou coordinateur RH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Recevoir et transférer, conformément aux protocoles standards, les appels entrants et accueillir les visi-teurs, leur fournir des informations précises ou des moyens alternatifs pour les obtenir.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Recevoir et accueillir les visiteurs.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Gérer le standard téléphonique et traiter tous les appels entrants, sortants et les transferts d’appels.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Fournir des informations générales et transmettre toutes les informations inhabituelles au superviseur.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Mettre à jour l’annuaire téléphonique, enregistrer les modifications et diffuser les mises à jour si nécessaire.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Distribuer et gérer l’ensemble du courrier entrant et sortant.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Garder les locaux de réception propres et bien rangés.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Lire et écrire.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 nécessaire.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Langues de la mission et langues locales indispensables.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de l’informatique indispensable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