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RESPONSABLE DE BASE</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OC00700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Chef/fe de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Chef/fe de mission</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Opérations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Définir la stratégie opérationnelle de la base en collaboration avec le Chef de mission/la cellule opération-nelle. Etre responsable des activités opérationnelles de </w:t>
            </w:r>
            <w:r>
              <w:rPr>
                <w:b/>
              </w:rPr>
              <w:t xml:space="preserve">MSF</w:t>
            </w:r>
            <w:r>
              <w:t xml:space="preserve"> dans la base de soutien. Coordonner les activités du programme de la base de soutien tout en assurant la conformité à la charte, aux normes éthiques et aux politiques de </w:t>
            </w:r>
            <w:r>
              <w:rPr>
                <w:b/>
              </w:rPr>
              <w:t xml:space="preserve">MSF</w:t>
            </w:r>
            <w:r>
              <w:t xml:space="preserve"> afin de réaliser une gestion efficace des activités et d'atteindre les objectifs du programme.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Heading2"/>
            </w:pPr>
            <w:r>
              <w:t xml:space="preserve">BROUILLON</w:t>
            </w:r>
          </w:p>
          <w:p>
            <w:pPr>
              <w:pStyle w:val="ListBullet"/>
              <w:numPr>
                <w:ilvl w:val="0"/>
                <w:numId w:val="17"/>
              </w:numPr>
            </w:pPr>
            <w:r>
              <w:t xml:space="preserve">Représenter </w:t>
            </w:r>
            <w:r>
              <w:rPr>
                <w:b/>
              </w:rPr>
              <w:t xml:space="preserve">MSF</w:t>
            </w:r>
            <w:r>
              <w:t xml:space="preserve"> et défendre ses intérêts auprès des autorités locales, des ONG locales, des donateurs et des médias afin d'obtenir un positionnement actif et une image publique positive. </w:t>
            </w:r>
          </w:p>
          <w:p>
            <w:pPr>
              <w:pStyle w:val="ListBullet"/>
              <w:numPr>
                <w:ilvl w:val="0"/>
                <w:numId w:val="17"/>
              </w:numPr>
            </w:pPr>
            <w:r>
              <w:t xml:space="preserve">Être responsable et superviser l'exécution de toutes les activités du programme. S'assurer que les normes techniques et éthiques de </w:t>
            </w:r>
            <w:r>
              <w:rPr>
                <w:b/>
              </w:rPr>
              <w:t xml:space="preserve">MSF</w:t>
            </w:r>
            <w:r>
              <w:t xml:space="preserve"> sont respectées et que les objectifs sont atteints. Coordonner les activités avec les autres sections et projets de MSF dans la région. </w:t>
            </w:r>
          </w:p>
          <w:p>
            <w:pPr>
              <w:pStyle w:val="ListBullet"/>
              <w:numPr>
                <w:ilvl w:val="0"/>
                <w:numId w:val="17"/>
              </w:numPr>
            </w:pPr>
            <w:r>
              <w:t xml:space="preserve">Être responsable de la planification, du dimensionnement et de la coordination appropriés de toutes les ressources financières nécessaires à la base de soutien. S'entendre sur le budget annuel et être responsable de l'administration financière de la base.</w:t>
            </w:r>
          </w:p>
          <w:p>
            <w:pPr>
              <w:pStyle w:val="ListBullet"/>
              <w:numPr>
                <w:ilvl w:val="0"/>
                <w:numId w:val="17"/>
              </w:numPr>
            </w:pPr>
            <w:r>
              <w:t xml:space="preserve">Diriger l'équipe de la base de soutien sous sa supervision. Être responsable de la bonne application des politiques de ressources humaines et des processus associés dans la base de soutien (recrutement, briefing/débriefing, évaluation, apprentissage et développement du personnel et communication interne) afin de garantir à la fois la taille de l'équipe de projet et la quantité de connaissances requises pour les activités. Informer les équipes sur les questions liées au contexte, afin de maximiser leur engagement envers les valeurs de la </w:t>
            </w:r>
            <w:r>
              <w:rPr>
                <w:b/>
              </w:rPr>
              <w:t xml:space="preserve">MSF</w:t>
            </w:r>
            <w:r>
              <w:t xml:space="preserve"> et les objectifs du projet. </w:t>
            </w:r>
          </w:p>
          <w:p>
            <w:pPr>
              <w:pStyle w:val="ListBullet"/>
              <w:numPr>
                <w:ilvl w:val="0"/>
                <w:numId w:val="17"/>
              </w:numPr>
            </w:pPr>
            <w:r>
              <w:t xml:space="preserve">Superviser les ressources matérielles du projet mises à la disposition de MSF afin d'assurer une utilisation correcte et sa longévité. Superviser toutes les commandes et les achats du projet ainsi que les indicateurs financiers, avec le soutien des référents de la capitale, afin d'assurer l'efficacité et de détecter rapidement les écarts et leurs causes. </w:t>
            </w:r>
          </w:p>
          <w:p>
            <w:pPr>
              <w:pStyle w:val="ListBullet"/>
              <w:numPr>
                <w:ilvl w:val="0"/>
                <w:numId w:val="17"/>
              </w:numPr>
            </w:pPr>
            <w:r>
              <w:t xml:space="preserve">Assurer la collecte des données. Évaluer la performance du programme et fournir tous les rapports opérationnels requis au CdM/ siège conformément au cycle de rapport de la mission/du siège. Tenir le personnel et le CdM/ siège informés et actualisés des questions liées au contexte.</w:t>
            </w:r>
          </w:p>
          <w:p>
            <w:pPr>
              <w:pStyle w:val="ListBullet"/>
              <w:numPr>
                <w:ilvl w:val="0"/>
                <w:numId w:val="17"/>
              </w:numPr>
            </w:pPr>
            <w:r>
              <w:t xml:space="preserve">Définir et mettre à jour régulièrement, en étroite collaboration avec le chef de mission/siège, la politique de sécurité du projet et la réponse stratégique aux situations d'urgence, en signalant toute question pertinente, afin d'améliorer les conditions de travail à risque et de garantir le respect total des règles et protocoles de sécurité par le personnel. Gérer la sécurité dans le cadre du projet, en s'assurant que toutes les mesures de sécurité nécessaires sont en place pour la sécurité du personnel de MSF et de ses opérations.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universitaire souhaitable </w:t>
            </w:r>
          </w:p>
          <w:p>
            <w:pPr>
              <w:pStyle w:val="Paragraph"/>
            </w:pPr>
            <w:r>
              <w:t xml:space="preserve">Diplôme en gestion de projet ou en gestion des ressources humaines souhaitable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Au moins deux ans d'expérience à des postes de direction dans le domaine de l'aide humanitaire avec MSF ou d'autres ONGs.</w:t>
            </w:r>
          </w:p>
          <w:p>
            <w:pPr>
              <w:pStyle w:val="ListBullet"/>
              <w:numPr>
                <w:ilvl w:val="0"/>
                <w:numId w:val="18"/>
              </w:numPr>
            </w:pPr>
            <w:r>
              <w:t xml:space="preserve">Expérience de travail indispensable dans les pays en développement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19"/>
              </w:numPr>
            </w:pPr>
            <w:r>
              <w:t xml:space="preserve">Maitrise essentielle de la langue de travail de la mission</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0"/>
              </w:numPr>
            </w:pPr>
            <w:r>
              <w:t xml:space="preserve">Connaissances informatiques essentielles (Word, Excel et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1"/>
              </w:numPr>
            </w:pPr>
            <w:r>
              <w:t xml:space="preserve">Vision stratégique </w:t>
            </w:r>
            <w:r>
              <w:rPr>
                <w:b/>
              </w:rPr>
              <w:t xml:space="preserve">L2</w:t>
            </w:r>
            <w:r>
              <w:t xml:space="preserve">
</w:t>
            </w:r>
          </w:p>
          <w:p>
            <w:pPr>
              <w:pStyle w:val="ListBullet"/>
              <w:numPr>
                <w:ilvl w:val="0"/>
                <w:numId w:val="21"/>
              </w:numPr>
            </w:pPr>
            <w:r>
              <w:t xml:space="preserve">Leadership </w:t>
            </w:r>
            <w:r>
              <w:rPr>
                <w:b/>
              </w:rPr>
              <w:t xml:space="preserve">L2</w:t>
            </w:r>
            <w:r>
              <w:t xml:space="preserve">
</w:t>
            </w:r>
          </w:p>
          <w:p>
            <w:pPr>
              <w:pStyle w:val="ListBullet"/>
              <w:numPr>
                <w:ilvl w:val="0"/>
                <w:numId w:val="21"/>
              </w:numPr>
            </w:pPr>
            <w:r>
              <w:t xml:space="preserve">Gestion et développement des RH  </w:t>
            </w:r>
            <w:r>
              <w:rPr>
                <w:b/>
              </w:rPr>
              <w:t xml:space="preserve">L3</w:t>
            </w:r>
            <w:r>
              <w:t xml:space="preserve">
</w:t>
            </w:r>
          </w:p>
          <w:p>
            <w:pPr>
              <w:pStyle w:val="ListBullet"/>
              <w:numPr>
                <w:ilvl w:val="0"/>
                <w:numId w:val="21"/>
              </w:numPr>
            </w:pPr>
            <w:r>
              <w:t xml:space="preserve">Orientation du service </w:t>
            </w:r>
            <w:r>
              <w:rPr>
                <w:b/>
              </w:rPr>
              <w:t xml:space="preserve">L3</w:t>
            </w:r>
            <w:r>
              <w:t xml:space="preserve">
</w:t>
            </w:r>
          </w:p>
          <w:p>
            <w:pPr>
              <w:pStyle w:val="ListBullet"/>
              <w:numPr>
                <w:ilvl w:val="0"/>
                <w:numId w:val="21"/>
              </w:numPr>
            </w:pPr>
            <w:r>
              <w:t xml:space="preserve">Travail d’équipe et coopération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