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CAJERO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Finanzas, Gestor de la contabilidad o Gestor de RR. HH. y de Finanzas del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Finanzas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RRHH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transacciones en efectivo, verificar la documentación de respaldo y mantener los registros de acuerdo con los estándares de </w:t>
            </w:r>
            <w:r>
              <w:rPr>
                <w:b/>
              </w:rPr>
              <w:t xml:space="preserve">MSF</w:t>
            </w:r>
            <w:r>
              <w:t xml:space="preserve"> y con las políticas financieras locales.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Controlar los pagos en efectivo de la caja chica, y registrar y codificar diariamente las transacciones de dinero en el sistema contable o en el libro de caja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Contar el dinero en efectivo e investigar cualquier discrepancia todos los días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el seguimiento de los adelantos en efectivo y asegurar su correcta liquidación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solicitudes de transferencia entre la caja chica y la caja de seguridad. Verificar la validez de las facturas, las firmas de autorización y los códigos correctos de las cuentas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sea necesario, realizar operaciones de cambio de divisas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se le requiera, ayudar a preparar el pago de salarios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conciliaciones mensuales antes del cierre de las cuentas del mes, y, en caso de corresponder, administrar las conciliaciones y los estados de cuentas bancarios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o certificaciones en Administración o en Contabilidad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en contabilidad (1 año como mínimo).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local y de la misión (imprescindible).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básicos de computación (Word, Excel) (imprescindible)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conductual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Servicio y orientación 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Conciencia intercultural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