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CONSEILLER-EDUCATEUR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salud mental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salud mental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Prodiguer des conseils et/ou dispenser des séances d'éducation aux patients, en accord avec les différents protocoles médicaux et de santé mentale de MSF, pour améliorer leur état psychosocial.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Identifier les besoins psychosociaux, socio-économiques et administratifs des patients.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Promouvoir activement les services de conseil mis à disposition et dispenser, de manière individuelle ou en groupe, des séances d'éducation psychologique aux patients et à leurs familles (si nécessaire) en vue d'alléger leurs difficultés psychologiques dans le champ d'application du projet.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nécessaire, orienter les patients vers d'autres spécialistes ou institutions en vue de leur fournir la meilleure assistance possible.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 déploiement de matériel pour les activités de conseil et en assurer la supervision.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Maintenir à jour les dossiers et statistiques relatifs aux activités quotidiennes et participer à des réunions d'équipe pour partager son expérience et discuter des cas spéciaux avec d'autres conseillers, tout en préservant la confidentialité des données.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 responsable opérationnel de tout problème survenant lors des activités quotidiennes.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activement part aux formations, supervisions/intervisions et si nécessaire, aider le responsable des activités à sensibiliser le personnel de MSF ou les partenaires externes aux problèmes psychologiques/de santé mentale.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Discuter avec le superviseur des difficultés et problématiques liés à l'activité de conseil.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Conseil, travail social, psychologie ou diplôme similaire.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Une année d'expérience indispensable. Expérience avec les ONG souhaitée.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 la langue locale indispensable. Maîtrise de la langue de la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